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rFonts w:ascii="黑体" w:eastAsia="黑体"/>
          <w:b/>
          <w:color w:val="000000"/>
          <w:sz w:val="32"/>
          <w:szCs w:val="32"/>
          <w:highlight w:val="none"/>
        </w:rPr>
      </w:pPr>
      <w:r>
        <w:rPr>
          <w:rFonts w:hint="eastAsia" w:ascii="黑体" w:hAnsi="宋体" w:eastAsia="黑体"/>
          <w:b/>
          <w:bCs/>
          <w:color w:val="000000"/>
          <w:sz w:val="32"/>
          <w:szCs w:val="32"/>
          <w:highlight w:val="none"/>
        </w:rPr>
        <w:t xml:space="preserve">第四章 </w:t>
      </w:r>
      <w:r>
        <w:rPr>
          <w:rFonts w:hint="eastAsia" w:ascii="黑体" w:eastAsia="黑体"/>
          <w:b/>
          <w:color w:val="000000"/>
          <w:sz w:val="32"/>
          <w:szCs w:val="32"/>
          <w:highlight w:val="none"/>
        </w:rPr>
        <w:t>采购需求</w:t>
      </w:r>
    </w:p>
    <w:p>
      <w:pPr>
        <w:adjustRightInd w:val="0"/>
        <w:snapToGrid w:val="0"/>
        <w:spacing w:line="360" w:lineRule="auto"/>
        <w:ind w:right="23" w:rightChars="11"/>
        <w:rPr>
          <w:rFonts w:ascii="宋体" w:hAnsi="宋体"/>
          <w:b/>
          <w:bCs/>
          <w:color w:val="000000"/>
          <w:szCs w:val="21"/>
          <w:highlight w:val="none"/>
        </w:rPr>
      </w:pPr>
    </w:p>
    <w:p>
      <w:pPr>
        <w:numPr>
          <w:ilvl w:val="0"/>
          <w:numId w:val="1"/>
        </w:numPr>
        <w:adjustRightInd w:val="0"/>
        <w:snapToGrid w:val="0"/>
        <w:spacing w:line="360" w:lineRule="auto"/>
        <w:ind w:right="23" w:rightChars="11"/>
        <w:rPr>
          <w:rFonts w:hint="eastAsia" w:ascii="宋体" w:hAnsi="宋体"/>
          <w:b w:val="0"/>
          <w:bCs w:val="0"/>
          <w:color w:val="000000"/>
          <w:sz w:val="24"/>
          <w:szCs w:val="24"/>
          <w:highlight w:val="none"/>
        </w:rPr>
      </w:pPr>
      <w:r>
        <w:rPr>
          <w:rFonts w:hint="eastAsia" w:ascii="宋体" w:hAnsi="宋体"/>
          <w:b/>
          <w:bCs/>
          <w:color w:val="000000"/>
          <w:sz w:val="24"/>
          <w:szCs w:val="24"/>
          <w:highlight w:val="none"/>
        </w:rPr>
        <w:t>项目名称：</w:t>
      </w:r>
    </w:p>
    <w:p>
      <w:pPr>
        <w:numPr>
          <w:ilvl w:val="0"/>
          <w:numId w:val="0"/>
        </w:numPr>
        <w:adjustRightInd w:val="0"/>
        <w:snapToGrid w:val="0"/>
        <w:spacing w:line="360" w:lineRule="auto"/>
        <w:ind w:right="23" w:rightChars="11" w:firstLine="480" w:firstLineChars="200"/>
        <w:rPr>
          <w:rFonts w:hint="eastAsia" w:ascii="宋体" w:hAnsi="宋体"/>
          <w:b w:val="0"/>
          <w:bCs w:val="0"/>
          <w:color w:val="000000"/>
          <w:sz w:val="24"/>
          <w:szCs w:val="24"/>
          <w:highlight w:val="none"/>
        </w:rPr>
      </w:pPr>
      <w:r>
        <w:rPr>
          <w:rFonts w:hint="eastAsia" w:ascii="宋体" w:hAnsi="宋体"/>
          <w:b w:val="0"/>
          <w:bCs w:val="0"/>
          <w:color w:val="000000"/>
          <w:sz w:val="24"/>
          <w:szCs w:val="24"/>
          <w:highlight w:val="none"/>
          <w:lang w:val="en-US" w:eastAsia="zh-CN"/>
        </w:rPr>
        <w:t>长沙教育学院书吧整体建设工程项目</w:t>
      </w:r>
    </w:p>
    <w:p>
      <w:pPr>
        <w:numPr>
          <w:ilvl w:val="0"/>
          <w:numId w:val="1"/>
        </w:numPr>
        <w:adjustRightInd w:val="0"/>
        <w:snapToGrid w:val="0"/>
        <w:spacing w:line="360" w:lineRule="auto"/>
        <w:ind w:right="23" w:rightChars="11"/>
        <w:rPr>
          <w:rFonts w:hint="eastAsia" w:ascii="宋体" w:hAnsi="宋体" w:eastAsia="宋体" w:cs="Times New Roman"/>
          <w:b/>
          <w:bCs/>
          <w:color w:val="000000"/>
          <w:sz w:val="24"/>
          <w:szCs w:val="24"/>
          <w:highlight w:val="none"/>
          <w:lang w:val="en-US" w:eastAsia="zh-CN"/>
        </w:rPr>
      </w:pPr>
      <w:r>
        <w:rPr>
          <w:rFonts w:hint="eastAsia" w:ascii="宋体" w:hAnsi="宋体" w:eastAsia="宋体" w:cs="Times New Roman"/>
          <w:b/>
          <w:bCs/>
          <w:color w:val="000000"/>
          <w:sz w:val="24"/>
          <w:szCs w:val="24"/>
          <w:highlight w:val="none"/>
          <w:lang w:val="en-US" w:eastAsia="zh-CN"/>
        </w:rPr>
        <w:t>工程承包范围:</w:t>
      </w:r>
    </w:p>
    <w:p>
      <w:pPr>
        <w:numPr>
          <w:ilvl w:val="0"/>
          <w:numId w:val="0"/>
        </w:numPr>
        <w:adjustRightInd w:val="0"/>
        <w:snapToGrid w:val="0"/>
        <w:spacing w:line="360" w:lineRule="auto"/>
        <w:ind w:right="23" w:rightChars="11"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本项目为长沙教育学院书吧整体建设工程，项目地点位于长沙教育学院（岳麓区王家湾月湖小区），拟在学院书吧室内原有装修拆除、二次装修，室外绿化重新整理、水电安装及设备采购等。具体详见工程量清单及施工图纸。</w:t>
      </w:r>
    </w:p>
    <w:p>
      <w:pPr>
        <w:numPr>
          <w:ilvl w:val="0"/>
          <w:numId w:val="1"/>
        </w:numPr>
        <w:adjustRightInd w:val="0"/>
        <w:snapToGrid w:val="0"/>
        <w:spacing w:line="360" w:lineRule="auto"/>
        <w:ind w:right="23" w:rightChars="11"/>
        <w:rPr>
          <w:rFonts w:hint="eastAsia" w:ascii="宋体" w:hAnsi="宋体" w:eastAsia="宋体" w:cs="Times New Roman"/>
          <w:b/>
          <w:bCs/>
          <w:color w:val="000000"/>
          <w:sz w:val="24"/>
          <w:szCs w:val="24"/>
          <w:highlight w:val="none"/>
          <w:lang w:val="en-US" w:eastAsia="zh-CN"/>
        </w:rPr>
      </w:pPr>
      <w:r>
        <w:rPr>
          <w:rFonts w:hint="eastAsia" w:ascii="宋体" w:hAnsi="宋体" w:eastAsia="宋体" w:cs="Times New Roman"/>
          <w:b/>
          <w:bCs/>
          <w:color w:val="000000"/>
          <w:sz w:val="24"/>
          <w:szCs w:val="24"/>
          <w:highlight w:val="none"/>
          <w:lang w:val="en-US" w:eastAsia="zh-CN"/>
        </w:rPr>
        <w:t>项目实施要求:</w:t>
      </w:r>
    </w:p>
    <w:p>
      <w:pPr>
        <w:numPr>
          <w:ilvl w:val="0"/>
          <w:numId w:val="0"/>
        </w:numPr>
        <w:adjustRightInd w:val="0"/>
        <w:snapToGrid w:val="0"/>
        <w:spacing w:line="360" w:lineRule="auto"/>
        <w:ind w:right="23" w:rightChars="11"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1、施工工期： 合同签订之日起45 日历日</w:t>
      </w:r>
    </w:p>
    <w:p>
      <w:pPr>
        <w:numPr>
          <w:ilvl w:val="0"/>
          <w:numId w:val="0"/>
        </w:numPr>
        <w:adjustRightInd w:val="0"/>
        <w:snapToGrid w:val="0"/>
        <w:spacing w:line="360" w:lineRule="auto"/>
        <w:ind w:right="23" w:rightChars="11"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2、质量要求：符合现行国家有关工程施工验收规范合格标准。</w:t>
      </w:r>
    </w:p>
    <w:p>
      <w:pPr>
        <w:numPr>
          <w:ilvl w:val="0"/>
          <w:numId w:val="0"/>
        </w:numPr>
        <w:adjustRightInd w:val="0"/>
        <w:snapToGrid w:val="0"/>
        <w:spacing w:line="360" w:lineRule="auto"/>
        <w:ind w:right="23" w:rightChars="11" w:firstLine="480" w:firstLineChars="200"/>
        <w:rPr>
          <w:rFonts w:hint="eastAsia" w:ascii="宋体" w:hAnsi="宋体" w:eastAsia="宋体" w:cs="宋体"/>
          <w:sz w:val="28"/>
          <w:szCs w:val="36"/>
        </w:rPr>
      </w:pPr>
      <w:r>
        <w:rPr>
          <w:rFonts w:hint="eastAsia" w:ascii="宋体" w:hAnsi="宋体" w:eastAsia="宋体" w:cs="Times New Roman"/>
          <w:b w:val="0"/>
          <w:bCs w:val="0"/>
          <w:color w:val="000000"/>
          <w:sz w:val="24"/>
          <w:szCs w:val="24"/>
          <w:highlight w:val="none"/>
          <w:lang w:val="en-US" w:eastAsia="zh-CN"/>
        </w:rPr>
        <w:t>3、保修要求：按中华人民共和国建设部 2000年80号令相关规定进行保修。</w:t>
      </w:r>
      <w:r>
        <w:rPr>
          <w:rFonts w:hint="eastAsia" w:ascii="宋体" w:hAnsi="宋体" w:eastAsia="宋体" w:cs="宋体"/>
          <w:sz w:val="28"/>
          <w:szCs w:val="36"/>
        </w:rPr>
        <w:t xml:space="preserve"> </w:t>
      </w:r>
    </w:p>
    <w:p>
      <w:pPr>
        <w:numPr>
          <w:ilvl w:val="0"/>
          <w:numId w:val="1"/>
        </w:numPr>
        <w:adjustRightInd w:val="0"/>
        <w:snapToGrid w:val="0"/>
        <w:spacing w:line="360" w:lineRule="auto"/>
        <w:ind w:right="23" w:rightChars="11"/>
        <w:rPr>
          <w:rFonts w:hint="eastAsia" w:ascii="宋体" w:hAnsi="宋体" w:eastAsia="宋体" w:cs="Times New Roman"/>
          <w:b/>
          <w:bCs/>
          <w:color w:val="000000"/>
          <w:sz w:val="24"/>
          <w:szCs w:val="24"/>
          <w:highlight w:val="none"/>
          <w:lang w:val="en-US" w:eastAsia="zh-CN"/>
        </w:rPr>
      </w:pPr>
      <w:r>
        <w:rPr>
          <w:rFonts w:hint="eastAsia" w:ascii="宋体" w:hAnsi="宋体" w:eastAsia="宋体" w:cs="Times New Roman"/>
          <w:b/>
          <w:bCs/>
          <w:color w:val="000000"/>
          <w:sz w:val="24"/>
          <w:szCs w:val="24"/>
          <w:highlight w:val="none"/>
          <w:lang w:val="en-US" w:eastAsia="zh-CN"/>
        </w:rPr>
        <w:t>工程量清单（控制价）及图纸 :</w:t>
      </w:r>
    </w:p>
    <w:p>
      <w:pPr>
        <w:numPr>
          <w:ilvl w:val="0"/>
          <w:numId w:val="0"/>
        </w:numPr>
        <w:adjustRightInd w:val="0"/>
        <w:snapToGrid w:val="0"/>
        <w:spacing w:line="360" w:lineRule="auto"/>
        <w:ind w:right="23" w:rightChars="11"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 xml:space="preserve">工程量清单（控制价）及图纸见本磋商文件及附件。 </w:t>
      </w:r>
    </w:p>
    <w:p>
      <w:pPr>
        <w:numPr>
          <w:ilvl w:val="0"/>
          <w:numId w:val="1"/>
        </w:numPr>
        <w:adjustRightInd w:val="0"/>
        <w:snapToGrid w:val="0"/>
        <w:spacing w:line="360" w:lineRule="auto"/>
        <w:ind w:right="23" w:rightChars="11"/>
        <w:rPr>
          <w:rFonts w:hint="eastAsia" w:ascii="宋体" w:hAnsi="宋体" w:eastAsia="宋体" w:cs="Times New Roman"/>
          <w:b/>
          <w:bCs/>
          <w:color w:val="000000"/>
          <w:sz w:val="24"/>
          <w:szCs w:val="24"/>
          <w:highlight w:val="none"/>
          <w:lang w:val="en-US" w:eastAsia="zh-CN"/>
        </w:rPr>
      </w:pPr>
      <w:r>
        <w:rPr>
          <w:rFonts w:hint="eastAsia" w:ascii="宋体" w:hAnsi="宋体" w:eastAsia="宋体" w:cs="Times New Roman"/>
          <w:b/>
          <w:bCs/>
          <w:color w:val="000000"/>
          <w:sz w:val="24"/>
          <w:szCs w:val="24"/>
          <w:highlight w:val="none"/>
          <w:lang w:val="en-US" w:eastAsia="zh-CN"/>
        </w:rPr>
        <w:t>报价要求 :</w:t>
      </w:r>
    </w:p>
    <w:p>
      <w:pPr>
        <w:numPr>
          <w:ilvl w:val="0"/>
          <w:numId w:val="0"/>
        </w:numPr>
        <w:adjustRightInd w:val="0"/>
        <w:snapToGrid w:val="0"/>
        <w:spacing w:line="360" w:lineRule="auto"/>
        <w:ind w:right="23" w:rightChars="11"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1、本工程量清单（含上限价） ：</w:t>
      </w:r>
    </w:p>
    <w:p>
      <w:pPr>
        <w:numPr>
          <w:ilvl w:val="0"/>
          <w:numId w:val="0"/>
        </w:numPr>
        <w:adjustRightInd w:val="0"/>
        <w:snapToGrid w:val="0"/>
        <w:spacing w:line="360" w:lineRule="auto"/>
        <w:ind w:right="23" w:rightChars="11"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详见磋商公告附件。</w:t>
      </w:r>
    </w:p>
    <w:p>
      <w:pPr>
        <w:numPr>
          <w:ilvl w:val="0"/>
          <w:numId w:val="0"/>
        </w:numPr>
        <w:adjustRightInd w:val="0"/>
        <w:snapToGrid w:val="0"/>
        <w:spacing w:line="360" w:lineRule="auto"/>
        <w:ind w:right="23" w:rightChars="11"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2、编制依据 ：</w:t>
      </w:r>
    </w:p>
    <w:p>
      <w:pPr>
        <w:numPr>
          <w:ilvl w:val="0"/>
          <w:numId w:val="0"/>
        </w:numPr>
        <w:adjustRightInd w:val="0"/>
        <w:snapToGrid w:val="0"/>
        <w:spacing w:line="360" w:lineRule="auto"/>
        <w:ind w:right="23" w:rightChars="11"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2.1设计图纸及补充和修改文件；</w:t>
      </w:r>
    </w:p>
    <w:p>
      <w:pPr>
        <w:numPr>
          <w:ilvl w:val="0"/>
          <w:numId w:val="0"/>
        </w:numPr>
        <w:adjustRightInd w:val="0"/>
        <w:snapToGrid w:val="0"/>
        <w:spacing w:line="360" w:lineRule="auto"/>
        <w:ind w:right="23" w:rightChars="11"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2.2建设工程设计文件及相关资料；</w:t>
      </w:r>
    </w:p>
    <w:p>
      <w:pPr>
        <w:numPr>
          <w:ilvl w:val="0"/>
          <w:numId w:val="0"/>
        </w:numPr>
        <w:adjustRightInd w:val="0"/>
        <w:snapToGrid w:val="0"/>
        <w:spacing w:line="360" w:lineRule="auto"/>
        <w:ind w:right="23" w:rightChars="11"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2.3施工现场情况、工程特点及施工方案；</w:t>
      </w:r>
    </w:p>
    <w:p>
      <w:pPr>
        <w:numPr>
          <w:ilvl w:val="0"/>
          <w:numId w:val="0"/>
        </w:numPr>
        <w:adjustRightInd w:val="0"/>
        <w:snapToGrid w:val="0"/>
        <w:spacing w:line="360" w:lineRule="auto"/>
        <w:ind w:right="23" w:rightChars="11"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2.4与建设项目相关的标准、规范等技术资料；</w:t>
      </w:r>
    </w:p>
    <w:p>
      <w:pPr>
        <w:numPr>
          <w:ilvl w:val="0"/>
          <w:numId w:val="0"/>
        </w:numPr>
        <w:adjustRightInd w:val="0"/>
        <w:snapToGrid w:val="0"/>
        <w:spacing w:line="360" w:lineRule="auto"/>
        <w:ind w:right="23" w:rightChars="11"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2.5材料价格标准参照工程造价与定额管理总站关于发布《湖南2020建筑与装饰工程量消耗标准》、《湖南2020安装工程消耗量标准》中工程材料预算价确定。缺项由湖南省造价站长沙市房建信息价及市场价确定。</w:t>
      </w:r>
    </w:p>
    <w:p>
      <w:pPr>
        <w:numPr>
          <w:ilvl w:val="0"/>
          <w:numId w:val="0"/>
        </w:numPr>
        <w:adjustRightInd w:val="0"/>
        <w:snapToGrid w:val="0"/>
        <w:spacing w:line="360" w:lineRule="auto"/>
        <w:ind w:right="23" w:rightChars="11"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3、工程量清单编制说明 ：</w:t>
      </w:r>
    </w:p>
    <w:p>
      <w:pPr>
        <w:numPr>
          <w:ilvl w:val="0"/>
          <w:numId w:val="0"/>
        </w:numPr>
        <w:adjustRightInd w:val="0"/>
        <w:snapToGrid w:val="0"/>
        <w:spacing w:line="360" w:lineRule="auto"/>
        <w:ind w:right="23" w:rightChars="11"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3.1编制范围:本工程量清单工程量包括图纸所示内容；</w:t>
      </w:r>
    </w:p>
    <w:p>
      <w:pPr>
        <w:numPr>
          <w:ilvl w:val="0"/>
          <w:numId w:val="0"/>
        </w:numPr>
        <w:adjustRightInd w:val="0"/>
        <w:snapToGrid w:val="0"/>
        <w:spacing w:line="360" w:lineRule="auto"/>
        <w:ind w:right="23" w:rightChars="11"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3.2除非合同另有规定，工程量清单中有标价的单价和总额价均已包括了为实施和完成合同工程所需的劳务、材料、机械、质检(自检)、安装、缺陷修复等费用，以及合同明示或暗示的所有责任、义务和一般风险；</w:t>
      </w:r>
    </w:p>
    <w:p>
      <w:pPr>
        <w:numPr>
          <w:ilvl w:val="0"/>
          <w:numId w:val="0"/>
        </w:numPr>
        <w:adjustRightInd w:val="0"/>
        <w:snapToGrid w:val="0"/>
        <w:spacing w:line="360" w:lineRule="auto"/>
        <w:ind w:right="23" w:rightChars="11"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3.3符合合同条款及招标文件规定的全部费用应认为已被计入有标价的工程量清单所列各项目之中，未列项目不予计量的工作，其费用应视为已分摊在本合同段的有关细目的单价或总额价之中施工期间若发生不在本次预算范围的工程内容，与预算中相同的工程项目以合同价作为结算单价，与预算价中相似的工程项目以合同价中的报价略作调整作为结算单价，预算中没有的工程项目，按合同书等规定的办法及长沙市相关文件进行结算；</w:t>
      </w:r>
    </w:p>
    <w:p>
      <w:pPr>
        <w:numPr>
          <w:ilvl w:val="0"/>
          <w:numId w:val="0"/>
        </w:numPr>
        <w:adjustRightInd w:val="0"/>
        <w:snapToGrid w:val="0"/>
        <w:spacing w:line="360" w:lineRule="auto"/>
        <w:ind w:right="23" w:rightChars="11"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3.4承包人对用于本合同工程的各类装备的提供、运输、维护、拆卸等支付的费用，已包括在工程量清单的单价与总价之中；</w:t>
      </w:r>
    </w:p>
    <w:p>
      <w:pPr>
        <w:numPr>
          <w:ilvl w:val="0"/>
          <w:numId w:val="0"/>
        </w:numPr>
        <w:adjustRightInd w:val="0"/>
        <w:snapToGrid w:val="0"/>
        <w:spacing w:line="360" w:lineRule="auto"/>
        <w:ind w:right="23" w:rightChars="11"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3.5本工程为政府采购工程，预算为招标控制价。</w:t>
      </w:r>
    </w:p>
    <w:p>
      <w:pPr>
        <w:numPr>
          <w:ilvl w:val="0"/>
          <w:numId w:val="1"/>
        </w:numPr>
        <w:adjustRightInd w:val="0"/>
        <w:snapToGrid w:val="0"/>
        <w:spacing w:line="360" w:lineRule="auto"/>
        <w:ind w:right="23" w:rightChars="11"/>
        <w:rPr>
          <w:rFonts w:hint="eastAsia" w:ascii="宋体" w:hAnsi="宋体" w:eastAsia="宋体" w:cs="Times New Roman"/>
          <w:b/>
          <w:bCs/>
          <w:color w:val="000000"/>
          <w:sz w:val="24"/>
          <w:szCs w:val="24"/>
          <w:highlight w:val="none"/>
          <w:lang w:val="en-US" w:eastAsia="zh-CN"/>
        </w:rPr>
      </w:pPr>
      <w:r>
        <w:rPr>
          <w:rFonts w:hint="eastAsia" w:ascii="宋体" w:hAnsi="宋体" w:eastAsia="宋体" w:cs="Times New Roman"/>
          <w:b/>
          <w:bCs/>
          <w:color w:val="000000"/>
          <w:sz w:val="24"/>
          <w:szCs w:val="24"/>
          <w:highlight w:val="none"/>
          <w:lang w:val="en-US" w:eastAsia="zh-CN"/>
        </w:rPr>
        <w:t>质量标准和验收规范:</w:t>
      </w:r>
    </w:p>
    <w:p>
      <w:pPr>
        <w:numPr>
          <w:ilvl w:val="0"/>
          <w:numId w:val="0"/>
        </w:numPr>
        <w:adjustRightInd w:val="0"/>
        <w:snapToGrid w:val="0"/>
        <w:spacing w:line="360" w:lineRule="auto"/>
        <w:ind w:right="23" w:rightChars="11"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1、《建筑装饰装修工程质量验收标准》 GB 50210-2018</w:t>
      </w:r>
    </w:p>
    <w:p>
      <w:pPr>
        <w:numPr>
          <w:ilvl w:val="0"/>
          <w:numId w:val="0"/>
        </w:numPr>
        <w:adjustRightInd w:val="0"/>
        <w:snapToGrid w:val="0"/>
        <w:spacing w:line="360" w:lineRule="auto"/>
        <w:ind w:right="23" w:rightChars="11"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2、《建筑内部装修设计防火规范》 GB 50222-2017</w:t>
      </w:r>
    </w:p>
    <w:p>
      <w:pPr>
        <w:numPr>
          <w:ilvl w:val="0"/>
          <w:numId w:val="0"/>
        </w:numPr>
        <w:adjustRightInd w:val="0"/>
        <w:snapToGrid w:val="0"/>
        <w:spacing w:line="360" w:lineRule="auto"/>
        <w:ind w:right="23" w:rightChars="11" w:firstLine="480" w:firstLineChars="200"/>
        <w:rPr>
          <w:rFonts w:hint="default"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3、《工程建设标准强制性条文》 （房屋建筑部分2013年版)</w:t>
      </w:r>
    </w:p>
    <w:p>
      <w:pPr>
        <w:numPr>
          <w:ilvl w:val="0"/>
          <w:numId w:val="1"/>
        </w:numPr>
        <w:adjustRightInd w:val="0"/>
        <w:snapToGrid w:val="0"/>
        <w:spacing w:line="360" w:lineRule="auto"/>
        <w:ind w:right="23" w:rightChars="11"/>
        <w:rPr>
          <w:rFonts w:hint="eastAsia" w:ascii="宋体" w:hAnsi="宋体" w:eastAsia="宋体" w:cs="Times New Roman"/>
          <w:b/>
          <w:bCs/>
          <w:color w:val="000000"/>
          <w:sz w:val="24"/>
          <w:szCs w:val="24"/>
          <w:highlight w:val="none"/>
          <w:lang w:val="en-US" w:eastAsia="zh-CN"/>
        </w:rPr>
      </w:pPr>
      <w:r>
        <w:rPr>
          <w:rFonts w:hint="eastAsia" w:ascii="宋体" w:hAnsi="宋体" w:eastAsia="宋体" w:cs="Times New Roman"/>
          <w:b/>
          <w:bCs/>
          <w:color w:val="000000"/>
          <w:sz w:val="24"/>
          <w:szCs w:val="24"/>
          <w:highlight w:val="none"/>
          <w:lang w:val="en-US" w:eastAsia="zh-CN"/>
        </w:rPr>
        <w:t>验收方式标准和方法</w:t>
      </w:r>
    </w:p>
    <w:p>
      <w:pPr>
        <w:spacing w:line="360" w:lineRule="auto"/>
        <w:ind w:firstLine="480" w:firstLineChars="200"/>
        <w:jc w:val="left"/>
        <w:rPr>
          <w:sz w:val="24"/>
          <w:szCs w:val="32"/>
        </w:rPr>
      </w:pPr>
      <w:r>
        <w:rPr>
          <w:sz w:val="24"/>
          <w:szCs w:val="32"/>
        </w:rPr>
        <w:t xml:space="preserve">1、本项目要求达到国家有关工程施工验收规范合格标准。 </w:t>
      </w:r>
    </w:p>
    <w:p>
      <w:pPr>
        <w:spacing w:line="360" w:lineRule="auto"/>
        <w:ind w:firstLine="480" w:firstLineChars="200"/>
        <w:jc w:val="left"/>
        <w:rPr>
          <w:sz w:val="24"/>
          <w:szCs w:val="32"/>
        </w:rPr>
      </w:pPr>
      <w:r>
        <w:rPr>
          <w:sz w:val="24"/>
          <w:szCs w:val="32"/>
        </w:rPr>
        <w:t>2、本项目按长财采购[2016]6号文的规定，以简易程序进行验收。项目验收国家、省、市、县有强制性规定的，按国家、省、市、县规定执行，验收费用由中标人承担，验收报告作为申请付款的凭证之一。</w:t>
      </w:r>
    </w:p>
    <w:p>
      <w:pPr>
        <w:spacing w:line="360" w:lineRule="auto"/>
        <w:ind w:firstLine="480" w:firstLineChars="200"/>
        <w:jc w:val="left"/>
        <w:rPr>
          <w:sz w:val="24"/>
          <w:szCs w:val="32"/>
        </w:rPr>
      </w:pPr>
      <w:r>
        <w:rPr>
          <w:sz w:val="24"/>
          <w:szCs w:val="32"/>
        </w:rPr>
        <w:t>3、项目验收不合格，由成交人返工直至合格，有关返工、再行验收，以及给采购人造成的损失等费用由中标供应商承担。连续两次项目验收不合格的，采购人可终止合同，另行按规定选择其他供应商采购，由此带来的一切损失由成交人承担。</w:t>
      </w:r>
    </w:p>
    <w:p>
      <w:pPr>
        <w:numPr>
          <w:ilvl w:val="0"/>
          <w:numId w:val="1"/>
        </w:numPr>
        <w:adjustRightInd w:val="0"/>
        <w:snapToGrid w:val="0"/>
        <w:spacing w:line="360" w:lineRule="auto"/>
        <w:ind w:right="23" w:rightChars="11"/>
        <w:rPr>
          <w:rFonts w:hint="eastAsia" w:ascii="宋体" w:hAnsi="宋体" w:eastAsia="宋体" w:cs="Times New Roman"/>
          <w:b/>
          <w:bCs/>
          <w:color w:val="000000"/>
          <w:sz w:val="24"/>
          <w:szCs w:val="24"/>
          <w:highlight w:val="none"/>
          <w:lang w:val="en-US" w:eastAsia="zh-CN"/>
        </w:rPr>
      </w:pPr>
      <w:r>
        <w:rPr>
          <w:rFonts w:hint="eastAsia" w:ascii="宋体" w:hAnsi="宋体" w:eastAsia="宋体" w:cs="Times New Roman"/>
          <w:b/>
          <w:bCs/>
          <w:color w:val="000000"/>
          <w:sz w:val="24"/>
          <w:szCs w:val="24"/>
          <w:highlight w:val="none"/>
          <w:lang w:val="en-US" w:eastAsia="zh-CN"/>
        </w:rPr>
        <w:t>结算</w:t>
      </w:r>
    </w:p>
    <w:p>
      <w:pPr>
        <w:spacing w:line="360" w:lineRule="auto"/>
        <w:ind w:firstLine="480"/>
        <w:jc w:val="left"/>
        <w:rPr>
          <w:sz w:val="24"/>
          <w:szCs w:val="32"/>
        </w:rPr>
      </w:pPr>
      <w:r>
        <w:rPr>
          <w:sz w:val="24"/>
          <w:szCs w:val="32"/>
        </w:rPr>
        <w:t xml:space="preserve">1、结算方法 </w:t>
      </w:r>
    </w:p>
    <w:p>
      <w:pPr>
        <w:spacing w:line="360" w:lineRule="auto"/>
        <w:ind w:firstLine="480"/>
        <w:jc w:val="left"/>
        <w:rPr>
          <w:sz w:val="24"/>
          <w:szCs w:val="32"/>
        </w:rPr>
      </w:pPr>
      <w:r>
        <w:rPr>
          <w:sz w:val="24"/>
          <w:szCs w:val="32"/>
        </w:rPr>
        <w:t xml:space="preserve">1.1付款人： 长沙教育学院 </w:t>
      </w:r>
    </w:p>
    <w:p>
      <w:pPr>
        <w:spacing w:line="360" w:lineRule="auto"/>
        <w:ind w:firstLine="480"/>
        <w:jc w:val="left"/>
        <w:rPr>
          <w:sz w:val="24"/>
          <w:szCs w:val="32"/>
        </w:rPr>
      </w:pPr>
      <w:r>
        <w:rPr>
          <w:sz w:val="24"/>
          <w:szCs w:val="32"/>
        </w:rPr>
        <w:t>1.2付款方式：</w:t>
      </w:r>
    </w:p>
    <w:p>
      <w:pPr>
        <w:spacing w:line="360" w:lineRule="auto"/>
        <w:ind w:firstLine="480" w:firstLineChars="200"/>
        <w:jc w:val="left"/>
        <w:rPr>
          <w:sz w:val="24"/>
          <w:szCs w:val="32"/>
        </w:rPr>
      </w:pPr>
      <w:r>
        <w:rPr>
          <w:sz w:val="24"/>
          <w:szCs w:val="32"/>
        </w:rPr>
        <w:t>本项目工程完工并办理竣工验收后，支付不超过合同价</w:t>
      </w:r>
      <w:r>
        <w:rPr>
          <w:rFonts w:hint="eastAsia"/>
          <w:sz w:val="24"/>
          <w:szCs w:val="32"/>
          <w:lang w:val="en-US" w:eastAsia="zh-CN"/>
        </w:rPr>
        <w:t>60</w:t>
      </w:r>
      <w:r>
        <w:rPr>
          <w:sz w:val="24"/>
          <w:szCs w:val="32"/>
        </w:rPr>
        <w:t>%的工程款；工程结算经</w:t>
      </w:r>
      <w:r>
        <w:rPr>
          <w:rFonts w:hint="eastAsia"/>
          <w:sz w:val="24"/>
          <w:szCs w:val="32"/>
          <w:lang w:val="en-US" w:eastAsia="zh-CN"/>
        </w:rPr>
        <w:t>长沙市教育局结算</w:t>
      </w:r>
      <w:r>
        <w:rPr>
          <w:sz w:val="24"/>
          <w:szCs w:val="32"/>
        </w:rPr>
        <w:t>评审后，支付累计不超过结算评审金额97%的工程款；预留结算评审金额3%作为质保金，待工程交付使用一年后（无质量及其他经济法律纠纷）无息付清。最终结算金额以</w:t>
      </w:r>
      <w:r>
        <w:rPr>
          <w:rFonts w:hint="eastAsia"/>
          <w:sz w:val="24"/>
          <w:szCs w:val="32"/>
          <w:lang w:val="en-US" w:eastAsia="zh-CN"/>
        </w:rPr>
        <w:t>长沙市教育局</w:t>
      </w:r>
      <w:r>
        <w:rPr>
          <w:sz w:val="24"/>
          <w:szCs w:val="32"/>
        </w:rPr>
        <w:t>审定金额为准。如因财政审批拨款流程导致付款延迟的，</w:t>
      </w:r>
      <w:r>
        <w:rPr>
          <w:rFonts w:hint="eastAsia"/>
          <w:sz w:val="24"/>
          <w:szCs w:val="32"/>
        </w:rPr>
        <w:t>成交供应商</w:t>
      </w:r>
      <w:r>
        <w:rPr>
          <w:sz w:val="24"/>
          <w:szCs w:val="32"/>
        </w:rPr>
        <w:t>不得追究</w:t>
      </w:r>
      <w:r>
        <w:rPr>
          <w:rFonts w:hint="eastAsia"/>
          <w:sz w:val="24"/>
          <w:szCs w:val="32"/>
        </w:rPr>
        <w:t>采购方</w:t>
      </w:r>
      <w:r>
        <w:rPr>
          <w:sz w:val="24"/>
          <w:szCs w:val="32"/>
        </w:rPr>
        <w:t>责任。</w:t>
      </w:r>
    </w:p>
    <w:p>
      <w:pPr>
        <w:numPr>
          <w:ilvl w:val="0"/>
          <w:numId w:val="1"/>
        </w:numPr>
        <w:adjustRightInd w:val="0"/>
        <w:snapToGrid w:val="0"/>
        <w:spacing w:line="360" w:lineRule="auto"/>
        <w:ind w:right="23" w:rightChars="11"/>
        <w:rPr>
          <w:rFonts w:hint="eastAsia" w:ascii="宋体" w:hAnsi="宋体" w:eastAsia="宋体" w:cs="Times New Roman"/>
          <w:b/>
          <w:bCs/>
          <w:color w:val="000000"/>
          <w:sz w:val="24"/>
          <w:szCs w:val="24"/>
          <w:highlight w:val="none"/>
          <w:lang w:val="en-US" w:eastAsia="zh-CN"/>
        </w:rPr>
      </w:pPr>
      <w:r>
        <w:rPr>
          <w:rFonts w:hint="eastAsia" w:ascii="宋体" w:hAnsi="宋体" w:eastAsia="宋体" w:cs="Times New Roman"/>
          <w:b/>
          <w:bCs/>
          <w:color w:val="000000"/>
          <w:sz w:val="24"/>
          <w:szCs w:val="24"/>
          <w:highlight w:val="none"/>
          <w:lang w:val="en-US" w:eastAsia="zh-CN"/>
        </w:rPr>
        <w:t>其他要求</w:t>
      </w:r>
    </w:p>
    <w:p>
      <w:pPr>
        <w:spacing w:line="360" w:lineRule="auto"/>
        <w:ind w:firstLine="480" w:firstLineChars="200"/>
        <w:jc w:val="left"/>
        <w:rPr>
          <w:sz w:val="24"/>
          <w:szCs w:val="32"/>
        </w:rPr>
      </w:pPr>
      <w:r>
        <w:rPr>
          <w:rFonts w:hint="eastAsia"/>
          <w:sz w:val="24"/>
          <w:szCs w:val="32"/>
        </w:rPr>
        <w:t>1、</w:t>
      </w:r>
      <w:r>
        <w:rPr>
          <w:sz w:val="24"/>
          <w:szCs w:val="32"/>
        </w:rPr>
        <w:t>供应商在投标前，如需踏勘现场，有关费用自理，踏勘期间发生的意外自负</w:t>
      </w:r>
      <w:r>
        <w:rPr>
          <w:rFonts w:hint="eastAsia"/>
          <w:sz w:val="24"/>
          <w:szCs w:val="32"/>
        </w:rPr>
        <w:t>；</w:t>
      </w:r>
    </w:p>
    <w:p>
      <w:pPr>
        <w:spacing w:line="360" w:lineRule="auto"/>
        <w:ind w:firstLine="480" w:firstLineChars="200"/>
        <w:jc w:val="left"/>
        <w:rPr>
          <w:sz w:val="24"/>
          <w:szCs w:val="32"/>
        </w:rPr>
      </w:pPr>
      <w:r>
        <w:rPr>
          <w:rFonts w:hint="eastAsia"/>
          <w:sz w:val="24"/>
          <w:szCs w:val="32"/>
        </w:rPr>
        <w:t>2、对于上述项目要求，投标人应在投标文件中进行回应，作出承诺及说明。</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A797C9"/>
    <w:multiLevelType w:val="singleLevel"/>
    <w:tmpl w:val="7DA797C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yZTRiYWFkNjU5N2ZkY2QyZDQyMzBlN2E2NjNmNTQifQ=="/>
  </w:docVars>
  <w:rsids>
    <w:rsidRoot w:val="7BF362BB"/>
    <w:rsid w:val="7BF36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uiPriority w:val="0"/>
    <w:pPr>
      <w:spacing w:after="120"/>
    </w:pPr>
  </w:style>
  <w:style w:type="paragraph" w:styleId="3">
    <w:name w:val="Body Text First Indent"/>
    <w:basedOn w:val="2"/>
    <w:qFormat/>
    <w:uiPriority w:val="0"/>
    <w:pPr>
      <w:autoSpaceDE w:val="0"/>
      <w:autoSpaceDN w:val="0"/>
      <w:adjustRightInd w:val="0"/>
      <w:ind w:firstLine="420" w:firstLineChars="100"/>
      <w:jc w:val="left"/>
    </w:pPr>
    <w:rPr>
      <w:rFonts w:ascii="仿宋_GB2312" w:hAnsi="Times New Roman"/>
      <w:b/>
      <w:kern w:val="0"/>
      <w:sz w:val="32"/>
      <w:szCs w:val="32"/>
    </w:rPr>
  </w:style>
  <w:style w:type="paragraph" w:styleId="4">
    <w:name w:val="footer"/>
    <w:basedOn w:val="1"/>
    <w:next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2023-10-27T09:08:00Z</dcterms:created>
  <dc:creator>潇湘月</dc:creator>
  <cp:lastModifiedBy>潇湘月</cp:lastModifiedBy>
  <dcterms:modified xsi:type="dcterms:W3CDTF">2023-10-27T09:09:28Z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0EFBC7ACD0904696B9C807FD853021E1_11</vt:lpwstr>
  </property>
</Properties>
</file>